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Compliance Baseline</w:t>
      </w:r>
    </w:p>
    <w:p>
      <w:pPr>
        <w:spacing w:after="120" w:before="0"/>
      </w:pPr>
      <w:r>
        <w:rPr>
          <w:rFonts w:ascii="Arial" w:cs="Arial" w:eastAsia="Arial" w:hAnsi="Arial"/>
          <w:color w:val="8B7355"/>
          <w:sz w:val="22"/>
          <w:szCs w:val="22"/>
        </w:rPr>
        <w:t xml:space="preserve">The kind of thing regulators and insurers will eventually ask for — better to know now than find out then.</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Deploy before you need them.</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Regulatory Landscape</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What are the primary regulatory frameworks your organisation operates under?</w:t>
      </w:r>
    </w:p>
    <w:p>
      <w:pPr>
        <w:spacing w:after="60" w:before="60" w:line="320"/>
      </w:pPr>
      <w:r>
        <w:rPr>
          <w:rFonts w:ascii="Arial" w:cs="Arial" w:eastAsia="Arial" w:hAnsi="Arial"/>
          <w:b w:val="false"/>
          <w:bCs w:val="false"/>
          <w:i/>
          <w:iCs/>
          <w:color w:val="999999"/>
          <w:sz w:val="21"/>
          <w:szCs w:val="21"/>
        </w:rPr>
        <w:t xml:space="preserve">List them. Industry-specific, jurisdictional, cross-border. Include recent additions.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When was your compliance obligations register last updated?</w:t>
      </w:r>
    </w:p>
    <w:p>
      <w:pPr>
        <w:spacing w:after="60" w:before="60" w:line="320"/>
      </w:pPr>
      <w:r>
        <w:rPr>
          <w:rFonts w:ascii="Arial" w:cs="Arial" w:eastAsia="Arial" w:hAnsi="Arial"/>
          <w:b w:val="false"/>
          <w:bCs w:val="false"/>
          <w:i/>
          <w:iCs/>
          <w:color w:val="999999"/>
          <w:sz w:val="21"/>
          <w:szCs w:val="21"/>
        </w:rPr>
        <w:t xml:space="preserve">Does it reflect the current regulatory environment, or the one from two years ago?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What regulatory changes are expected in the next 12 months?</w:t>
      </w:r>
    </w:p>
    <w:p>
      <w:pPr>
        <w:spacing w:after="60" w:before="60" w:line="320"/>
      </w:pPr>
      <w:r>
        <w:rPr>
          <w:rFonts w:ascii="Arial" w:cs="Arial" w:eastAsia="Arial" w:hAnsi="Arial"/>
          <w:b w:val="false"/>
          <w:bCs w:val="false"/>
          <w:i/>
          <w:iCs/>
          <w:color w:val="999999"/>
          <w:sz w:val="21"/>
          <w:szCs w:val="21"/>
        </w:rPr>
        <w:t xml:space="preserve">And what is the plan for each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Do you have a named compliance officer with authority and resources?</w:t>
      </w:r>
    </w:p>
    <w:p>
      <w:pPr>
        <w:spacing w:after="60" w:before="60" w:line="320"/>
      </w:pPr>
      <w:r>
        <w:rPr>
          <w:rFonts w:ascii="Arial" w:cs="Arial" w:eastAsia="Arial" w:hAnsi="Arial"/>
          <w:b w:val="false"/>
          <w:bCs w:val="false"/>
          <w:i/>
          <w:iCs/>
          <w:color w:val="999999"/>
          <w:sz w:val="21"/>
          <w:szCs w:val="21"/>
        </w:rPr>
        <w:t xml:space="preserve">Not a title — actual authority to act and budget to support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Framework &amp; Controls</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Is your compliance framework documented and accessible?</w:t>
      </w:r>
    </w:p>
    <w:p>
      <w:pPr>
        <w:spacing w:after="60" w:before="60" w:line="320"/>
      </w:pPr>
      <w:r>
        <w:rPr>
          <w:rFonts w:ascii="Arial" w:cs="Arial" w:eastAsia="Arial" w:hAnsi="Arial"/>
          <w:b w:val="false"/>
          <w:bCs w:val="false"/>
          <w:i/>
          <w:iCs/>
          <w:color w:val="999999"/>
          <w:sz w:val="21"/>
          <w:szCs w:val="21"/>
        </w:rPr>
        <w:t xml:space="preserve">Policies, procedures, controls, responsibilities. Can a new team member find and understand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How are compliance obligations mapped to operational controls?</w:t>
      </w:r>
    </w:p>
    <w:p>
      <w:pPr>
        <w:spacing w:after="60" w:before="60" w:line="320"/>
      </w:pPr>
      <w:r>
        <w:rPr>
          <w:rFonts w:ascii="Arial" w:cs="Arial" w:eastAsia="Arial" w:hAnsi="Arial"/>
          <w:b w:val="false"/>
          <w:bCs w:val="false"/>
          <w:i/>
          <w:iCs/>
          <w:color w:val="999999"/>
          <w:sz w:val="21"/>
          <w:szCs w:val="21"/>
        </w:rPr>
        <w:t xml:space="preserve">Is there a clear link between “we must do X” and the process or system that ensures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When were your compliance controls last tested?</w:t>
      </w:r>
    </w:p>
    <w:p>
      <w:pPr>
        <w:spacing w:after="60" w:before="60" w:line="320"/>
      </w:pPr>
      <w:r>
        <w:rPr>
          <w:rFonts w:ascii="Arial" w:cs="Arial" w:eastAsia="Arial" w:hAnsi="Arial"/>
          <w:b w:val="false"/>
          <w:bCs w:val="false"/>
          <w:i/>
          <w:iCs/>
          <w:color w:val="999999"/>
          <w:sz w:val="21"/>
          <w:szCs w:val="21"/>
        </w:rPr>
        <w:t xml:space="preserve">Internal audit, external audit, self-assessment. What did they find?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Are there known compliance gaps that haven’t been addressed?</w:t>
      </w:r>
    </w:p>
    <w:p>
      <w:pPr>
        <w:spacing w:after="60" w:before="60" w:line="320"/>
      </w:pPr>
      <w:r>
        <w:rPr>
          <w:rFonts w:ascii="Arial" w:cs="Arial" w:eastAsia="Arial" w:hAnsi="Arial"/>
          <w:b w:val="false"/>
          <w:bCs w:val="false"/>
          <w:i/>
          <w:iCs/>
          <w:color w:val="999999"/>
          <w:sz w:val="21"/>
          <w:szCs w:val="21"/>
        </w:rPr>
        <w:t xml:space="preserve">Documented but unresolved. What’s the reason, and what’s the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Monitoring &amp; Reporting</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How do you monitor ongoing compliance?</w:t>
      </w:r>
    </w:p>
    <w:p>
      <w:pPr>
        <w:spacing w:after="60" w:before="60" w:line="320"/>
      </w:pPr>
      <w:r>
        <w:rPr>
          <w:rFonts w:ascii="Arial" w:cs="Arial" w:eastAsia="Arial" w:hAnsi="Arial"/>
          <w:b w:val="false"/>
          <w:bCs w:val="false"/>
          <w:i/>
          <w:iCs/>
          <w:color w:val="999999"/>
          <w:sz w:val="21"/>
          <w:szCs w:val="21"/>
        </w:rPr>
        <w:t xml:space="preserve">Automated? Manual checks? Periodic reviews? Continuous monitoring?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How are compliance incidents or near-misses reported and tracked?</w:t>
      </w:r>
    </w:p>
    <w:p>
      <w:pPr>
        <w:spacing w:after="60" w:before="60" w:line="320"/>
      </w:pPr>
      <w:r>
        <w:rPr>
          <w:rFonts w:ascii="Arial" w:cs="Arial" w:eastAsia="Arial" w:hAnsi="Arial"/>
          <w:b w:val="false"/>
          <w:bCs w:val="false"/>
          <w:i/>
          <w:iCs/>
          <w:color w:val="999999"/>
          <w:sz w:val="21"/>
          <w:szCs w:val="21"/>
        </w:rPr>
        <w:t xml:space="preserve">Is there a reporting culture, or do issues get managed informally?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What compliance reporting does the board receive?</w:t>
      </w:r>
    </w:p>
    <w:p>
      <w:pPr>
        <w:spacing w:after="60" w:before="60" w:line="320"/>
      </w:pPr>
      <w:r>
        <w:rPr>
          <w:rFonts w:ascii="Arial" w:cs="Arial" w:eastAsia="Arial" w:hAnsi="Arial"/>
          <w:b w:val="false"/>
          <w:bCs w:val="false"/>
          <w:i/>
          <w:iCs/>
          <w:color w:val="999999"/>
          <w:sz w:val="21"/>
          <w:szCs w:val="21"/>
        </w:rPr>
        <w:t xml:space="preserve">Frequency, depth, and whether it includes leading indicators or just breach counts.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When was the last regulatory interaction (inspection, inquiry, or audit)?</w:t>
      </w:r>
    </w:p>
    <w:p>
      <w:pPr>
        <w:spacing w:after="60" w:before="60" w:line="320"/>
      </w:pPr>
      <w:r>
        <w:rPr>
          <w:rFonts w:ascii="Arial" w:cs="Arial" w:eastAsia="Arial" w:hAnsi="Arial"/>
          <w:b w:val="false"/>
          <w:bCs w:val="false"/>
          <w:i/>
          <w:iCs/>
          <w:color w:val="999999"/>
          <w:sz w:val="21"/>
          <w:szCs w:val="21"/>
        </w:rPr>
        <w:t xml:space="preserve">What was the outcome? What changed?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Training &amp; Culture</w:t>
      </w:r>
    </w:p>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When did staff last receive compliance training relevant to their role?</w:t>
      </w:r>
    </w:p>
    <w:p>
      <w:pPr>
        <w:spacing w:after="60" w:before="60" w:line="320"/>
      </w:pPr>
      <w:r>
        <w:rPr>
          <w:rFonts w:ascii="Arial" w:cs="Arial" w:eastAsia="Arial" w:hAnsi="Arial"/>
          <w:b w:val="false"/>
          <w:bCs w:val="false"/>
          <w:i/>
          <w:iCs/>
          <w:color w:val="999999"/>
          <w:sz w:val="21"/>
          <w:szCs w:val="21"/>
        </w:rPr>
        <w:t xml:space="preserve">Not generic annual awareness — training specific to what they actually 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How confident are you that staff understand their compliance obligations?</w:t>
      </w:r>
    </w:p>
    <w:p>
      <w:pPr>
        <w:spacing w:after="60" w:before="60" w:line="320"/>
      </w:pPr>
      <w:r>
        <w:rPr>
          <w:rFonts w:ascii="Arial" w:cs="Arial" w:eastAsia="Arial" w:hAnsi="Arial"/>
          <w:b w:val="false"/>
          <w:bCs w:val="false"/>
          <w:i/>
          <w:iCs/>
          <w:color w:val="999999"/>
          <w:sz w:val="21"/>
          <w:szCs w:val="21"/>
        </w:rPr>
        <w:t xml:space="preserve">Test it. Ask three people in different roles. Compare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compliance posture?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Compliance Baseline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Compliance Baseline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2026-03-07T12:15:30.592Z</dcterms:created>
  <dcterms:modified xsi:type="dcterms:W3CDTF">2026-03-07T12:15:30.592Z</dcterms:modified>
</cp:coreProperties>
</file>

<file path=docProps/custom.xml><?xml version="1.0" encoding="utf-8"?>
<Properties xmlns="http://schemas.openxmlformats.org/officeDocument/2006/custom-properties" xmlns:vt="http://schemas.openxmlformats.org/officeDocument/2006/docPropsVTypes"/>
</file>