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pPr>
      <w:r>
        <w:rPr>
          <w:rFonts w:ascii="Arial" w:cs="Arial" w:eastAsia="Arial" w:hAnsi="Arial"/>
          <w:b/>
          <w:bCs/>
          <w:color w:val="E8553D"/>
          <w:sz w:val="20"/>
          <w:szCs w:val="20"/>
        </w:rPr>
        <w:t xml:space="preserve">unfsckd</w:t>
      </w:r>
    </w:p>
    <w:p>
      <w:pPr>
        <w:spacing w:after="60" w:before="200"/>
      </w:pPr>
      <w:r>
        <w:rPr>
          <w:rFonts w:ascii="Arial" w:cs="Arial" w:eastAsia="Arial" w:hAnsi="Arial"/>
          <w:b/>
          <w:bCs/>
          <w:color w:val="1A1A1A"/>
          <w:sz w:val="40"/>
          <w:szCs w:val="40"/>
        </w:rPr>
        <w:t xml:space="preserve">Data Processing Agreement Review</w:t>
      </w:r>
    </w:p>
    <w:p>
      <w:pPr>
        <w:spacing w:after="120" w:before="0"/>
      </w:pPr>
      <w:r>
        <w:rPr>
          <w:rFonts w:ascii="Arial" w:cs="Arial" w:eastAsia="Arial" w:hAnsi="Arial"/>
          <w:color w:val="8B7355"/>
          <w:sz w:val="22"/>
          <w:szCs w:val="22"/>
        </w:rPr>
        <w:t xml:space="preserve">The agreements that should exist, the ones that do, and the gap between them.</w:t>
      </w:r>
    </w:p>
    <w:p>
      <w:pPr>
        <w:spacing w:after="40" w:before="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single" w:color="E8553D" w:sz="12" w:space="1"/>
              <w:bottom w:val="none"/>
              <w:right w:val="none"/>
            </w:tcBorders>
            <w:tcMar>
              <w:top w:type="dxa" w:w="80"/>
              <w:left w:type="dxa" w:w="200"/>
              <w:bottom w:type="dxa" w:w="80"/>
              <w:right w:type="dxa" w:w="80"/>
            </w:tcMar>
          </w:tcPr>
          <w:p>
            <w:r>
              <w:rPr>
                <w:rFonts w:ascii="Arial" w:cs="Arial" w:eastAsia="Arial" w:hAnsi="Arial"/>
                <w:i/>
                <w:iCs/>
                <w:color w:val="8B7355"/>
                <w:sz w:val="21"/>
                <w:szCs w:val="21"/>
              </w:rPr>
              <w:t xml:space="preserve">Deploy before you need them.</w:t>
            </w:r>
          </w:p>
        </w:tc>
      </w:tr>
    </w:tbl>
    <w:p>
      <w:pPr>
        <w:pBdr>
          <w:bottom w:val="single" w:color="E8553D" w:sz="6" w:space="1"/>
        </w:pBdr>
        <w:spacing w:after="200" w:before="200"/>
      </w:pPr>
    </w:p>
    <w:p>
      <w:pPr>
        <w:pStyle w:val="Heading2"/>
        <w:spacing w:after="100" w:before="280"/>
      </w:pPr>
      <w:r>
        <w:rPr>
          <w:rFonts w:ascii="Arial" w:cs="Arial" w:eastAsia="Arial" w:hAnsi="Arial"/>
          <w:b/>
          <w:bCs/>
          <w:color w:val="333333"/>
          <w:sz w:val="26"/>
          <w:szCs w:val="26"/>
        </w:rPr>
        <w:t xml:space="preserve">How to use this template</w:t>
      </w:r>
    </w:p>
    <w:p>
      <w:pPr>
        <w:spacing w:after="60" w:before="60" w:line="320"/>
      </w:pPr>
      <w:r>
        <w:rPr>
          <w:rFonts w:ascii="Arial" w:cs="Arial" w:eastAsia="Arial" w:hAnsi="Arial"/>
          <w:b w:val="false"/>
          <w:bCs w:val="false"/>
          <w:i w:val="false"/>
          <w:iCs w:val="false"/>
          <w:color w:val="333333"/>
          <w:sz w:val="21"/>
          <w:szCs w:val="21"/>
        </w:rPr>
        <w:t xml:space="preserve">Download a copy. Share it with your team independently — don’t fill it in together. Compare answers. The diagnostic value comes from the gaps between what different people think is true.</w:t>
      </w:r>
    </w:p>
    <w:p>
      <w:pPr>
        <w:spacing w:after="60" w:before="60" w:line="320"/>
      </w:pPr>
      <w:r>
        <w:rPr>
          <w:rFonts w:ascii="Arial" w:cs="Arial" w:eastAsia="Arial" w:hAnsi="Arial"/>
          <w:b w:val="false"/>
          <w:bCs w:val="false"/>
          <w:i w:val="false"/>
          <w:iCs w:val="false"/>
          <w:color w:val="333333"/>
          <w:sz w:val="21"/>
          <w:szCs w:val="21"/>
        </w:rPr>
        <w:t xml:space="preserve">Time required: 20–40 minutes per person. Then an hour of team discussion comparing answers.</w:t>
      </w:r>
    </w:p>
    <w:p>
      <w:pPr>
        <w:pBdr>
          <w:bottom w:val="single" w:color="D5D2CE" w:sz="2" w:space="1"/>
        </w:pBdr>
        <w:spacing w:after="160" w:before="160"/>
      </w:pPr>
    </w:p>
    <w:p>
      <w:pPr>
        <w:pStyle w:val="Heading2"/>
        <w:spacing w:after="100" w:before="280"/>
      </w:pPr>
      <w:r>
        <w:rPr>
          <w:rFonts w:ascii="Arial" w:cs="Arial" w:eastAsia="Arial" w:hAnsi="Arial"/>
          <w:b/>
          <w:bCs/>
          <w:color w:val="333333"/>
          <w:sz w:val="26"/>
          <w:szCs w:val="26"/>
        </w:rPr>
        <w:t xml:space="preserve">Respondent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left w:val="none"/>
              <w:bottom w:val="single" w:color="D5D2CE" w:sz="1"/>
              <w:right w:val="none"/>
            </w:tcBorders>
            <w:tcMar>
              <w:top w:type="dxa" w:w="40"/>
              <w:left w:type="dxa" w:w="0"/>
              <w:bottom w:type="dxa" w:w="100"/>
              <w:right w:type="dxa" w:w="120"/>
            </w:tcMar>
          </w:tcPr>
          <w:p>
            <w:r>
              <w:rPr>
                <w:rFonts w:ascii="Arial" w:cs="Arial" w:eastAsia="Arial" w:hAnsi="Arial"/>
                <w:color w:val="999999"/>
                <w:sz w:val="18"/>
                <w:szCs w:val="18"/>
              </w:rPr>
              <w:t xml:space="preserve">Name:</w:t>
            </w:r>
          </w:p>
        </w:tc>
        <w:tc>
          <w:tcPr>
            <w:tcW w:type="dxa" w:w="4680"/>
            <w:tcBorders>
              <w:top w:val="none"/>
              <w:left w:val="none"/>
              <w:bottom w:val="single" w:color="D5D2CE" w:sz="1"/>
              <w:right w:val="none"/>
            </w:tcBorders>
            <w:tcMar>
              <w:top w:type="dxa" w:w="40"/>
              <w:left w:type="dxa" w:w="120"/>
              <w:bottom w:type="dxa" w:w="100"/>
              <w:right w:type="dxa" w:w="0"/>
            </w:tcMar>
          </w:tcPr>
          <w:p>
            <w:r>
              <w:rPr>
                <w:rFonts w:ascii="Arial" w:cs="Arial" w:eastAsia="Arial" w:hAnsi="Arial"/>
                <w:color w:val="999999"/>
                <w:sz w:val="18"/>
                <w:szCs w:val="18"/>
              </w:rPr>
              <w:t xml:space="preserve">Role / Title:</w:t>
            </w:r>
          </w:p>
        </w:tc>
      </w:tr>
      <w:tr>
        <w:tc>
          <w:tcPr>
            <w:tcW w:type="dxa" w:w="4680"/>
            <w:tcBorders>
              <w:top w:val="none"/>
              <w:left w:val="none"/>
              <w:bottom w:val="single" w:color="D5D2CE" w:sz="1"/>
              <w:right w:val="none"/>
            </w:tcBorders>
            <w:tcMar>
              <w:top w:type="dxa" w:w="40"/>
              <w:left w:type="dxa" w:w="0"/>
              <w:bottom w:type="dxa" w:w="100"/>
              <w:right w:type="dxa" w:w="120"/>
            </w:tcMar>
          </w:tcPr>
          <w:p>
            <w:r>
              <w:rPr>
                <w:rFonts w:ascii="Arial" w:cs="Arial" w:eastAsia="Arial" w:hAnsi="Arial"/>
                <w:color w:val="999999"/>
                <w:sz w:val="18"/>
                <w:szCs w:val="18"/>
              </w:rPr>
              <w:t xml:space="preserve">Organisation:</w:t>
            </w:r>
          </w:p>
        </w:tc>
        <w:tc>
          <w:tcPr>
            <w:tcW w:type="dxa" w:w="4680"/>
            <w:tcBorders>
              <w:top w:val="none"/>
              <w:left w:val="none"/>
              <w:bottom w:val="single" w:color="D5D2CE" w:sz="1"/>
              <w:right w:val="none"/>
            </w:tcBorders>
            <w:tcMar>
              <w:top w:type="dxa" w:w="40"/>
              <w:left w:type="dxa" w:w="120"/>
              <w:bottom w:type="dxa" w:w="100"/>
              <w:right w:type="dxa" w:w="0"/>
            </w:tcMar>
          </w:tcPr>
          <w:p>
            <w:r>
              <w:rPr>
                <w:rFonts w:ascii="Arial" w:cs="Arial" w:eastAsia="Arial" w:hAnsi="Arial"/>
                <w:color w:val="999999"/>
                <w:sz w:val="18"/>
                <w:szCs w:val="18"/>
              </w:rPr>
              <w:t xml:space="preserve">Date:</w:t>
            </w:r>
          </w:p>
        </w:tc>
      </w:tr>
      <w:tr>
        <w:tc>
          <w:tcPr>
            <w:tcW w:type="dxa" w:w="4680"/>
            <w:tcBorders>
              <w:top w:val="none"/>
              <w:left w:val="none"/>
              <w:bottom w:val="single" w:color="D5D2CE" w:sz="1"/>
              <w:right w:val="none"/>
            </w:tcBorders>
            <w:tcMar>
              <w:top w:type="dxa" w:w="40"/>
              <w:left w:type="dxa" w:w="0"/>
              <w:bottom w:type="dxa" w:w="100"/>
              <w:right w:type="dxa" w:w="120"/>
            </w:tcMar>
          </w:tcPr>
          <w:p>
            <w:r>
              <w:rPr>
                <w:rFonts w:ascii="Arial" w:cs="Arial" w:eastAsia="Arial" w:hAnsi="Arial"/>
                <w:color w:val="999999"/>
                <w:sz w:val="18"/>
                <w:szCs w:val="18"/>
              </w:rPr>
              <w:t xml:space="preserve">Project / Area:</w:t>
            </w:r>
          </w:p>
        </w:tc>
        <w:tc>
          <w:tcPr>
            <w:tcW w:type="dxa" w:w="4680"/>
            <w:tcBorders>
              <w:top w:val="none"/>
              <w:left w:val="none"/>
              <w:bottom w:val="single" w:color="D5D2CE" w:sz="1"/>
              <w:right w:val="none"/>
            </w:tcBorders>
            <w:tcMar>
              <w:top w:type="dxa" w:w="40"/>
              <w:left w:type="dxa" w:w="120"/>
              <w:bottom w:type="dxa" w:w="100"/>
              <w:right w:type="dxa" w:w="0"/>
            </w:tcMar>
          </w:tcPr>
          <w:p>
            <w:r>
              <w:rPr>
                <w:rFonts w:ascii="Arial" w:cs="Arial" w:eastAsia="Arial" w:hAnsi="Arial"/>
                <w:color w:val="999999"/>
                <w:sz w:val="18"/>
                <w:szCs w:val="18"/>
              </w:rPr>
              <w:t xml:space="preserve"/>
            </w:r>
          </w:p>
        </w:tc>
      </w:tr>
    </w:tbl>
    <w:p>
      <w:pPr>
        <w:spacing w:after="200" w:before="200"/>
      </w:pPr>
    </w:p>
    <w:p>
      <w:pPr>
        <w:pStyle w:val="Heading1"/>
        <w:spacing w:after="120" w:before="360"/>
      </w:pPr>
      <w:r>
        <w:rPr>
          <w:rFonts w:ascii="Arial" w:cs="Arial" w:eastAsia="Arial" w:hAnsi="Arial"/>
          <w:b/>
          <w:bCs/>
          <w:color w:val="1A1A1A"/>
          <w:sz w:val="32"/>
          <w:szCs w:val="32"/>
        </w:rPr>
        <w:t xml:space="preserve">A. Agreement Inventory</w:t>
      </w:r>
    </w:p>
    <w:p>
      <w:pPr>
        <w:spacing w:after="60" w:before="60" w:line="320"/>
      </w:pPr>
      <w:r>
        <w:rPr>
          <w:rFonts w:ascii="Arial" w:cs="Arial" w:eastAsia="Arial" w:hAnsi="Arial"/>
          <w:b w:val="false"/>
          <w:bCs w:val="false"/>
          <w:i/>
          <w:iCs/>
          <w:color w:val="999999"/>
          <w:sz w:val="21"/>
          <w:szCs w:val="21"/>
        </w:rPr>
        <w:t xml:space="preserve">Establish what data processing agreements exist and whether they’re current.</w:t>
      </w:r>
    </w:p>
    <w:p>
      <w:pPr>
        <w:spacing w:after="40" w:before="200"/>
      </w:pPr>
      <w:r>
        <w:rPr>
          <w:rFonts w:ascii="Arial" w:cs="Arial" w:eastAsia="Arial" w:hAnsi="Arial"/>
          <w:b/>
          <w:bCs/>
          <w:color w:val="E8553D"/>
          <w:sz w:val="21"/>
          <w:szCs w:val="21"/>
        </w:rPr>
        <w:t xml:space="preserve">Q1. </w:t>
      </w:r>
      <w:r>
        <w:rPr>
          <w:rFonts w:ascii="Arial" w:cs="Arial" w:eastAsia="Arial" w:hAnsi="Arial"/>
          <w:b/>
          <w:bCs/>
          <w:color w:val="333333"/>
          <w:sz w:val="21"/>
          <w:szCs w:val="21"/>
        </w:rPr>
        <w:t xml:space="preserve">How many third parties process personal data on your behalf?</w:t>
      </w:r>
    </w:p>
    <w:p>
      <w:pPr>
        <w:spacing w:after="60" w:before="60" w:line="320"/>
      </w:pPr>
      <w:r>
        <w:rPr>
          <w:rFonts w:ascii="Arial" w:cs="Arial" w:eastAsia="Arial" w:hAnsi="Arial"/>
          <w:b w:val="false"/>
          <w:bCs w:val="false"/>
          <w:i/>
          <w:iCs/>
          <w:color w:val="999999"/>
          <w:sz w:val="21"/>
          <w:szCs w:val="21"/>
        </w:rPr>
        <w:t xml:space="preserve">Include cloud providers, SaaS platforms, outsourced services, analytics tools. The real number is usually higher than you think.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Q2. </w:t>
      </w:r>
      <w:r>
        <w:rPr>
          <w:rFonts w:ascii="Arial" w:cs="Arial" w:eastAsia="Arial" w:hAnsi="Arial"/>
          <w:b/>
          <w:bCs/>
          <w:color w:val="333333"/>
          <w:sz w:val="21"/>
          <w:szCs w:val="21"/>
        </w:rPr>
        <w:t xml:space="preserve">Do you have a signed DPA with each of them?</w:t>
      </w:r>
    </w:p>
    <w:p>
      <w:pPr>
        <w:spacing w:after="60" w:before="60" w:line="320"/>
      </w:pPr>
      <w:r>
        <w:rPr>
          <w:rFonts w:ascii="Arial" w:cs="Arial" w:eastAsia="Arial" w:hAnsi="Arial"/>
          <w:b w:val="false"/>
          <w:bCs w:val="false"/>
          <w:i/>
          <w:iCs/>
          <w:color w:val="999999"/>
          <w:sz w:val="21"/>
          <w:szCs w:val="21"/>
        </w:rPr>
        <w:t xml:space="preserve">Not a privacy policy on their website — a signed, bilateral data processing agreement.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Q3. </w:t>
      </w:r>
      <w:r>
        <w:rPr>
          <w:rFonts w:ascii="Arial" w:cs="Arial" w:eastAsia="Arial" w:hAnsi="Arial"/>
          <w:b/>
          <w:bCs/>
          <w:color w:val="333333"/>
          <w:sz w:val="21"/>
          <w:szCs w:val="21"/>
        </w:rPr>
        <w:t xml:space="preserve">When were your DPAs last reviewed against current data flows?</w:t>
      </w:r>
    </w:p>
    <w:p>
      <w:pPr>
        <w:spacing w:after="60" w:before="60" w:line="320"/>
      </w:pPr>
      <w:r>
        <w:rPr>
          <w:rFonts w:ascii="Arial" w:cs="Arial" w:eastAsia="Arial" w:hAnsi="Arial"/>
          <w:b w:val="false"/>
          <w:bCs w:val="false"/>
          <w:i/>
          <w:iCs/>
          <w:color w:val="999999"/>
          <w:sz w:val="21"/>
          <w:szCs w:val="21"/>
        </w:rPr>
        <w:t xml:space="preserve">Data flows change. Vendors change sub-processors. Your DPAs should reflect what’s actually happening.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Q4. </w:t>
      </w:r>
      <w:r>
        <w:rPr>
          <w:rFonts w:ascii="Arial" w:cs="Arial" w:eastAsia="Arial" w:hAnsi="Arial"/>
          <w:b/>
          <w:bCs/>
          <w:color w:val="333333"/>
          <w:sz w:val="21"/>
          <w:szCs w:val="21"/>
        </w:rPr>
        <w:t xml:space="preserve">Do your DPAs cover cross-border data transfers?</w:t>
      </w:r>
    </w:p>
    <w:p>
      <w:pPr>
        <w:spacing w:after="60" w:before="60" w:line="320"/>
      </w:pPr>
      <w:r>
        <w:rPr>
          <w:rFonts w:ascii="Arial" w:cs="Arial" w:eastAsia="Arial" w:hAnsi="Arial"/>
          <w:b w:val="false"/>
          <w:bCs w:val="false"/>
          <w:i/>
          <w:iCs/>
          <w:color w:val="999999"/>
          <w:sz w:val="21"/>
          <w:szCs w:val="21"/>
        </w:rPr>
        <w:t xml:space="preserve">If data leaves your jurisdiction, the legal basis for transfer should be documented.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pStyle w:val="Heading1"/>
        <w:spacing w:after="120" w:before="360"/>
      </w:pPr>
      <w:r>
        <w:rPr>
          <w:rFonts w:ascii="Arial" w:cs="Arial" w:eastAsia="Arial" w:hAnsi="Arial"/>
          <w:b/>
          <w:bCs/>
          <w:color w:val="1A1A1A"/>
          <w:sz w:val="32"/>
          <w:szCs w:val="32"/>
        </w:rPr>
        <w:t xml:space="preserve">B. Content &amp; Coverage</w:t>
      </w:r>
    </w:p>
    <w:p>
      <w:pPr>
        <w:spacing w:after="40" w:before="200"/>
      </w:pPr>
      <w:r>
        <w:rPr>
          <w:rFonts w:ascii="Arial" w:cs="Arial" w:eastAsia="Arial" w:hAnsi="Arial"/>
          <w:b/>
          <w:bCs/>
          <w:color w:val="E8553D"/>
          <w:sz w:val="21"/>
          <w:szCs w:val="21"/>
        </w:rPr>
        <w:t xml:space="preserve">Q5. </w:t>
      </w:r>
      <w:r>
        <w:rPr>
          <w:rFonts w:ascii="Arial" w:cs="Arial" w:eastAsia="Arial" w:hAnsi="Arial"/>
          <w:b/>
          <w:bCs/>
          <w:color w:val="333333"/>
          <w:sz w:val="21"/>
          <w:szCs w:val="21"/>
        </w:rPr>
        <w:t xml:space="preserve">Do your DPAs specify the purpose and duration of processing?</w:t>
      </w:r>
    </w:p>
    <w:p>
      <w:pPr>
        <w:spacing w:after="60" w:before="60" w:line="320"/>
      </w:pPr>
      <w:r>
        <w:rPr>
          <w:rFonts w:ascii="Arial" w:cs="Arial" w:eastAsia="Arial" w:hAnsi="Arial"/>
          <w:b w:val="false"/>
          <w:bCs w:val="false"/>
          <w:i/>
          <w:iCs/>
          <w:color w:val="999999"/>
          <w:sz w:val="21"/>
          <w:szCs w:val="21"/>
        </w:rPr>
        <w:t xml:space="preserve">Generic “to provide services” isn’t sufficient under most modern privacy laws.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Q6. </w:t>
      </w:r>
      <w:r>
        <w:rPr>
          <w:rFonts w:ascii="Arial" w:cs="Arial" w:eastAsia="Arial" w:hAnsi="Arial"/>
          <w:b/>
          <w:bCs/>
          <w:color w:val="333333"/>
          <w:sz w:val="21"/>
          <w:szCs w:val="21"/>
        </w:rPr>
        <w:t xml:space="preserve">Do they include sub-processor notification and approval rights?</w:t>
      </w:r>
    </w:p>
    <w:p>
      <w:pPr>
        <w:spacing w:after="60" w:before="60" w:line="320"/>
      </w:pPr>
      <w:r>
        <w:rPr>
          <w:rFonts w:ascii="Arial" w:cs="Arial" w:eastAsia="Arial" w:hAnsi="Arial"/>
          <w:b w:val="false"/>
          <w:bCs w:val="false"/>
          <w:i/>
          <w:iCs/>
          <w:color w:val="999999"/>
          <w:sz w:val="21"/>
          <w:szCs w:val="21"/>
        </w:rPr>
        <w:t xml:space="preserve">Can your vendor bring in a new sub-processor without telling you?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Q7. </w:t>
      </w:r>
      <w:r>
        <w:rPr>
          <w:rFonts w:ascii="Arial" w:cs="Arial" w:eastAsia="Arial" w:hAnsi="Arial"/>
          <w:b/>
          <w:bCs/>
          <w:color w:val="333333"/>
          <w:sz w:val="21"/>
          <w:szCs w:val="21"/>
        </w:rPr>
        <w:t xml:space="preserve">Do they cover data breach notification obligations?</w:t>
      </w:r>
    </w:p>
    <w:p>
      <w:pPr>
        <w:spacing w:after="60" w:before="60" w:line="320"/>
      </w:pPr>
      <w:r>
        <w:rPr>
          <w:rFonts w:ascii="Arial" w:cs="Arial" w:eastAsia="Arial" w:hAnsi="Arial"/>
          <w:b w:val="false"/>
          <w:bCs w:val="false"/>
          <w:i/>
          <w:iCs/>
          <w:color w:val="999999"/>
          <w:sz w:val="21"/>
          <w:szCs w:val="21"/>
        </w:rPr>
        <w:t xml:space="preserve">Timeframes, contact details, scope of notification. Does it match your incident response plan?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Q8. </w:t>
      </w:r>
      <w:r>
        <w:rPr>
          <w:rFonts w:ascii="Arial" w:cs="Arial" w:eastAsia="Arial" w:hAnsi="Arial"/>
          <w:b/>
          <w:bCs/>
          <w:color w:val="333333"/>
          <w:sz w:val="21"/>
          <w:szCs w:val="21"/>
        </w:rPr>
        <w:t xml:space="preserve">Do they include data deletion or return provisions?</w:t>
      </w:r>
    </w:p>
    <w:p>
      <w:pPr>
        <w:spacing w:after="60" w:before="60" w:line="320"/>
      </w:pPr>
      <w:r>
        <w:rPr>
          <w:rFonts w:ascii="Arial" w:cs="Arial" w:eastAsia="Arial" w:hAnsi="Arial"/>
          <w:b w:val="false"/>
          <w:bCs w:val="false"/>
          <w:i/>
          <w:iCs/>
          <w:color w:val="999999"/>
          <w:sz w:val="21"/>
          <w:szCs w:val="21"/>
        </w:rPr>
        <w:t xml:space="preserve">What happens to your data when the agreement ends? Is this actually enforceable?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pStyle w:val="Heading1"/>
        <w:spacing w:after="120" w:before="360"/>
      </w:pPr>
      <w:r>
        <w:rPr>
          <w:rFonts w:ascii="Arial" w:cs="Arial" w:eastAsia="Arial" w:hAnsi="Arial"/>
          <w:b/>
          <w:bCs/>
          <w:color w:val="1A1A1A"/>
          <w:sz w:val="32"/>
          <w:szCs w:val="32"/>
        </w:rPr>
        <w:t xml:space="preserve">C. Operational Reality</w:t>
      </w:r>
    </w:p>
    <w:p>
      <w:pPr>
        <w:spacing w:after="40" w:before="200"/>
      </w:pPr>
      <w:r>
        <w:rPr>
          <w:rFonts w:ascii="Arial" w:cs="Arial" w:eastAsia="Arial" w:hAnsi="Arial"/>
          <w:b/>
          <w:bCs/>
          <w:color w:val="E8553D"/>
          <w:sz w:val="21"/>
          <w:szCs w:val="21"/>
        </w:rPr>
        <w:t xml:space="preserve">Q9. </w:t>
      </w:r>
      <w:r>
        <w:rPr>
          <w:rFonts w:ascii="Arial" w:cs="Arial" w:eastAsia="Arial" w:hAnsi="Arial"/>
          <w:b/>
          <w:bCs/>
          <w:color w:val="333333"/>
          <w:sz w:val="21"/>
          <w:szCs w:val="21"/>
        </w:rPr>
        <w:t xml:space="preserve">Who in your organisation is responsible for managing DPAs?</w:t>
      </w:r>
    </w:p>
    <w:p>
      <w:pPr>
        <w:spacing w:after="60" w:before="60" w:line="320"/>
      </w:pPr>
      <w:r>
        <w:rPr>
          <w:rFonts w:ascii="Arial" w:cs="Arial" w:eastAsia="Arial" w:hAnsi="Arial"/>
          <w:b w:val="false"/>
          <w:bCs w:val="false"/>
          <w:i/>
          <w:iCs/>
          <w:color w:val="999999"/>
          <w:sz w:val="21"/>
          <w:szCs w:val="21"/>
        </w:rPr>
        <w:t xml:space="preserve">If the answer is “no one specifically,” that’s your first finding.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Q10. </w:t>
      </w:r>
      <w:r>
        <w:rPr>
          <w:rFonts w:ascii="Arial" w:cs="Arial" w:eastAsia="Arial" w:hAnsi="Arial"/>
          <w:b/>
          <w:bCs/>
          <w:color w:val="333333"/>
          <w:sz w:val="21"/>
          <w:szCs w:val="21"/>
        </w:rPr>
        <w:t xml:space="preserve">Are your data processing records (Article 30 or equivalent) current?</w:t>
      </w:r>
    </w:p>
    <w:p>
      <w:pPr>
        <w:spacing w:after="60" w:before="60" w:line="320"/>
      </w:pPr>
      <w:r>
        <w:rPr>
          <w:rFonts w:ascii="Arial" w:cs="Arial" w:eastAsia="Arial" w:hAnsi="Arial"/>
          <w:b w:val="false"/>
          <w:bCs w:val="false"/>
          <w:i/>
          <w:iCs/>
          <w:color w:val="999999"/>
          <w:sz w:val="21"/>
          <w:szCs w:val="21"/>
        </w:rPr>
        <w:t xml:space="preserve">Do they match the DPAs? Do they match the actual data flows?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Q11. </w:t>
      </w:r>
      <w:r>
        <w:rPr>
          <w:rFonts w:ascii="Arial" w:cs="Arial" w:eastAsia="Arial" w:hAnsi="Arial"/>
          <w:b/>
          <w:bCs/>
          <w:color w:val="333333"/>
          <w:sz w:val="21"/>
          <w:szCs w:val="21"/>
        </w:rPr>
        <w:t xml:space="preserve">What happens when you onboard a new vendor — is a DPA part of the process?</w:t>
      </w:r>
    </w:p>
    <w:p>
      <w:pPr>
        <w:spacing w:after="60" w:before="60" w:line="320"/>
      </w:pPr>
      <w:r>
        <w:rPr>
          <w:rFonts w:ascii="Arial" w:cs="Arial" w:eastAsia="Arial" w:hAnsi="Arial"/>
          <w:b w:val="false"/>
          <w:bCs w:val="false"/>
          <w:i/>
          <w:iCs/>
          <w:color w:val="999999"/>
          <w:sz w:val="21"/>
          <w:szCs w:val="21"/>
        </w:rPr>
        <w:t xml:space="preserve">Or does procurement happen first and the DPA comes later (or never)?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Q12. </w:t>
      </w:r>
      <w:r>
        <w:rPr>
          <w:rFonts w:ascii="Arial" w:cs="Arial" w:eastAsia="Arial" w:hAnsi="Arial"/>
          <w:b/>
          <w:bCs/>
          <w:color w:val="333333"/>
          <w:sz w:val="21"/>
          <w:szCs w:val="21"/>
        </w:rPr>
        <w:t xml:space="preserve">Have you ever had to invoke a DPA provision?</w:t>
      </w:r>
    </w:p>
    <w:p>
      <w:pPr>
        <w:spacing w:after="60" w:before="60" w:line="320"/>
      </w:pPr>
      <w:r>
        <w:rPr>
          <w:rFonts w:ascii="Arial" w:cs="Arial" w:eastAsia="Arial" w:hAnsi="Arial"/>
          <w:b w:val="false"/>
          <w:bCs w:val="false"/>
          <w:i/>
          <w:iCs/>
          <w:color w:val="999999"/>
          <w:sz w:val="21"/>
          <w:szCs w:val="21"/>
        </w:rPr>
        <w:t xml:space="preserve">Data breach, subject access request, vendor dispute. If so, did the agreement hold up?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pBdr>
          <w:bottom w:val="single" w:color="D5D2CE" w:sz="2" w:space="1"/>
        </w:pBdr>
        <w:spacing w:after="160" w:before="160"/>
      </w:pPr>
    </w:p>
    <w:p>
      <w:pPr>
        <w:pStyle w:val="Heading1"/>
        <w:spacing w:after="120" w:before="360"/>
      </w:pPr>
      <w:r>
        <w:rPr>
          <w:rFonts w:ascii="Arial" w:cs="Arial" w:eastAsia="Arial" w:hAnsi="Arial"/>
          <w:b/>
          <w:bCs/>
          <w:color w:val="1A1A1A"/>
          <w:sz w:val="32"/>
          <w:szCs w:val="32"/>
        </w:rPr>
        <w:t xml:space="preserve">D. Summary</w:t>
      </w:r>
    </w:p>
    <w:p>
      <w:pPr>
        <w:spacing w:after="40" w:before="200"/>
      </w:pPr>
      <w:r>
        <w:rPr>
          <w:rFonts w:ascii="Arial" w:cs="Arial" w:eastAsia="Arial" w:hAnsi="Arial"/>
          <w:b/>
          <w:bCs/>
          <w:color w:val="E8553D"/>
          <w:sz w:val="21"/>
          <w:szCs w:val="21"/>
        </w:rPr>
        <w:t xml:space="preserve">Q13. </w:t>
      </w:r>
      <w:r>
        <w:rPr>
          <w:rFonts w:ascii="Arial" w:cs="Arial" w:eastAsia="Arial" w:hAnsi="Arial"/>
          <w:b/>
          <w:bCs/>
          <w:color w:val="333333"/>
          <w:sz w:val="21"/>
          <w:szCs w:val="21"/>
        </w:rPr>
        <w:t xml:space="preserve">What is your overall confidence in DPA coverage? Score /10.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Q14. </w:t>
      </w:r>
      <w:r>
        <w:rPr>
          <w:rFonts w:ascii="Arial" w:cs="Arial" w:eastAsia="Arial" w:hAnsi="Arial"/>
          <w:b/>
          <w:bCs/>
          <w:color w:val="333333"/>
          <w:sz w:val="21"/>
          <w:szCs w:val="21"/>
        </w:rPr>
        <w:t xml:space="preserve">What are the top three findings from this review?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Q15. </w:t>
      </w:r>
      <w:r>
        <w:rPr>
          <w:rFonts w:ascii="Arial" w:cs="Arial" w:eastAsia="Arial" w:hAnsi="Arial"/>
          <w:b/>
          <w:bCs/>
          <w:color w:val="333333"/>
          <w:sz w:val="21"/>
          <w:szCs w:val="21"/>
        </w:rPr>
        <w:t xml:space="preserve">What needs to happen in the next 30 days?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pBdr>
          <w:bottom w:val="single" w:color="D5D2CE" w:sz="2" w:space="1"/>
        </w:pBdr>
        <w:spacing w:after="160" w:before="160"/>
      </w:pPr>
    </w:p>
    <w:p>
      <w:pPr>
        <w:pBdr>
          <w:bottom w:val="single" w:color="E8553D" w:sz="6" w:space="1"/>
        </w:pBdr>
        <w:spacing w:after="200" w:before="200"/>
      </w:pPr>
    </w:p>
    <w:p>
      <w:pPr>
        <w:spacing w:after="60" w:before="120"/>
      </w:pPr>
      <w:r>
        <w:rPr>
          <w:rFonts w:ascii="Arial" w:cs="Arial" w:eastAsia="Arial" w:hAnsi="Arial"/>
          <w:b/>
          <w:bCs/>
          <w:color w:val="999999"/>
          <w:sz w:val="18"/>
          <w:szCs w:val="18"/>
        </w:rPr>
        <w:t xml:space="preserve">THE HONEST BIT</w:t>
      </w:r>
    </w:p>
    <w:p>
      <w:pPr>
        <w:spacing w:after="40" w:before="40" w:line="280"/>
      </w:pPr>
      <w:r>
        <w:rPr>
          <w:rFonts w:ascii="Arial" w:cs="Arial" w:eastAsia="Arial" w:hAnsi="Arial"/>
          <w:color w:val="999999"/>
          <w:sz w:val="17"/>
          <w:szCs w:val="17"/>
        </w:rPr>
        <w:t xml:space="preserve">This template is a diagnostic starting point — not legal advice, not compliance certification, not a substitute for qualified professional guidance. If it surfaces something serious, get proper help. Talk to your lawyer. Talk to someone who carries professional indemnity insurance and knows your jurisdiction. Nothing here creates a client relationship, an advisory engagement, or a duty of care. You’re a grown-up. You downloaded a template. What you do next is on you.</w:t>
      </w:r>
    </w:p>
    <w:p>
      <w:pPr>
        <w:spacing w:after="40" w:before="40"/>
      </w:pPr>
      <w:r>
        <w:rPr>
          <w:rFonts w:ascii="Arial" w:cs="Arial" w:eastAsia="Arial" w:hAnsi="Arial"/>
          <w:i/>
          <w:iCs/>
          <w:color w:val="8B7355"/>
          <w:sz w:val="17"/>
          <w:szCs w:val="17"/>
        </w:rPr>
        <w:t xml:space="preserve">Progress over perfection — but not recklessness over common sense.</w:t>
      </w:r>
    </w:p>
    <w:p>
      <w:pPr>
        <w:spacing w:after="80" w:before="80"/>
      </w:pPr>
    </w:p>
    <w:p>
      <w:pPr>
        <w:spacing w:after="0" w:before="40"/>
      </w:pPr>
      <w:r>
        <w:rPr>
          <w:rFonts w:ascii="Arial" w:cs="Arial" w:eastAsia="Arial" w:hAnsi="Arial"/>
          <w:b/>
          <w:bCs/>
          <w:color w:val="E8553D"/>
          <w:sz w:val="16"/>
          <w:szCs w:val="16"/>
        </w:rPr>
        <w:t xml:space="preserve">© unfsckd.com</w:t>
      </w:r>
      <w:r>
        <w:rPr>
          <w:rFonts w:ascii="Arial" w:cs="Arial" w:eastAsia="Arial" w:hAnsi="Arial"/>
          <w:color w:val="999999"/>
          <w:sz w:val="16"/>
          <w:szCs w:val="16"/>
        </w:rPr>
        <w:t xml:space="preserve"> — A Deliverators toolbox. • thedeliverators.com</w:t>
      </w:r>
    </w:p>
    <w:p>
      <w:pPr>
        <w:pageBreakBefore/>
      </w:pPr>
      <w:r>
        <w:rPr>
          <w:b/>
          <w:sz w:val="28"/>
          <w:color w:val="E8553D"/>
          <w:rFonts w:ascii="Calibri" w:hAnsi="Calibri"/>
        </w:rPr>
        <w:t>CHANGELOG</w:t>
      </w:r>
    </w:p>
    <w:p>
      <w:pPr>
        <w:spacing w:before="100" w:after="200"/>
        <w:pBdr>
          <w:bottom w:val="single" w:sz="4" w:space="4" w:color="E8553D"/>
        </w:pBdr>
      </w:pPr>
      <w:r>
        <w:rPr>
          <w:sz w:val="2"/>
        </w:rPr>
        <w:t xml:space="preserve"> </w:t>
      </w:r>
    </w:p>
    <w:p>
      <w:pPr>
        <w:spacing w:before="200" w:after="80"/>
      </w:pPr>
      <w:r>
        <w:rPr>
          <w:b/>
          <w:sz w:val="21"/>
          <w:color w:val="E8553D"/>
          <w:rFonts w:ascii="Calibri" w:hAnsi="Calibri"/>
        </w:rPr>
        <w:t>v2.2</w:t>
      </w:r>
      <w:r>
        <w:rPr>
          <w:sz w:val="21"/>
          <w:color w:val="999999"/>
          <w:rFonts w:ascii="Calibri" w:hAnsi="Calibri"/>
        </w:rPr>
        <w:t xml:space="preserve">  —  March 2026</w:t>
      </w:r>
    </w:p>
    <w:p>
      <w:pPr>
        <w:spacing w:before="40" w:after="40"/>
        <w:ind w:left="400"/>
      </w:pPr>
      <w:r>
        <w:rPr>
          <w:sz w:val="21"/>
          <w:color w:val="E8553D"/>
          <w:rFonts w:ascii="Calibri" w:hAnsi="Calibri"/>
        </w:rPr>
        <w:t xml:space="preserve">—  </w:t>
      </w:r>
      <w:r>
        <w:rPr>
          <w:sz w:val="20"/>
          <w:color w:val="999999"/>
          <w:rFonts w:ascii="Calibri" w:hAnsi="Calibri"/>
        </w:rPr>
        <w:t>Rebranded to E8553D orange family palette. Versioning aligned across full document library.</w:t>
      </w:r>
    </w:p>
    <w:p>
      <w:pPr>
        <w:spacing w:before="40" w:after="40"/>
        <w:ind w:left="400"/>
      </w:pPr>
      <w:r>
        <w:rPr>
          <w:sz w:val="21"/>
          <w:color w:val="E8553D"/>
          <w:rFonts w:ascii="Calibri" w:hAnsi="Calibri"/>
        </w:rPr>
        <w:t xml:space="preserve">—  </w:t>
      </w:r>
      <w:r>
        <w:rPr>
          <w:sz w:val="20"/>
          <w:color w:val="999999"/>
          <w:rFonts w:ascii="Calibri" w:hAnsi="Calibri"/>
        </w:rPr>
        <w:t>Changelog stub added.</w:t>
      </w:r>
    </w:p>
    <w:p>
      <w:pPr>
        <w:spacing w:before="300" w:after="80"/>
      </w:pPr>
      <w:r>
        <w:rPr>
          <w:i/>
          <w:sz w:val="18"/>
          <w:color w:val="999999"/>
          <w:rFonts w:ascii="Calibri" w:hAnsi="Calibri"/>
        </w:rPr>
        <w:t>Data Processing Agreement Review  |  unfsckd.com  |  A Deliverators document.</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5D2CE" w:sz="2" w:space="4"/>
      </w:pBdr>
      <w:jc w:val="right"/>
    </w:pPr>
    <w:r>
      <w:rPr>
        <w:rFonts w:ascii="Arial" w:cs="Arial" w:eastAsia="Arial" w:hAnsi="Arial"/>
        <w:b/>
        <w:bCs/>
        <w:color w:val="E8553D"/>
        <w:sz w:val="16"/>
        <w:szCs w:val="16"/>
      </w:rPr>
      <w:t xml:space="preserve">unfsckd</w:t>
    </w:r>
    <w:r>
      <w:rPr>
        <w:rFonts w:ascii="Arial" w:cs="Arial" w:eastAsia="Arial" w:hAnsi="Arial"/>
        <w:color w:val="999999"/>
        <w:sz w:val="16"/>
        <w:szCs w:val="16"/>
      </w:rPr>
      <w:t xml:space="preserve"> • Data Processing Agreement Review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sz w:val="32"/>
      <w:szCs w:val="32"/>
    </w:rPr>
  </w:style>
  <w:style w:type="paragraph" w:styleId="Heading2">
    <w:name w:val="Heading 2"/>
    <w:basedOn w:val="Normal"/>
    <w:next w:val="Normal"/>
    <w:qFormat/>
    <w:pPr>
      <w:spacing w:after="100" w:before="280"/>
      <w:outlineLvl w:val="1"/>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2026-03-07T12:15:30.339Z</dcterms:created>
  <dcterms:modified xsi:type="dcterms:W3CDTF">2026-03-07T12:15:30.339Z</dcterms:modified>
</cp:coreProperties>
</file>

<file path=docProps/custom.xml><?xml version="1.0" encoding="utf-8"?>
<Properties xmlns="http://schemas.openxmlformats.org/officeDocument/2006/custom-properties" xmlns:vt="http://schemas.openxmlformats.org/officeDocument/2006/docPropsVTypes"/>
</file>